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1DAF" w14:textId="77777777" w:rsidR="003C79C8" w:rsidRDefault="003C79C8">
      <w:pPr>
        <w:pStyle w:val="BodyText"/>
        <w:rPr>
          <w:sz w:val="20"/>
        </w:rPr>
      </w:pPr>
    </w:p>
    <w:p w14:paraId="460176A6" w14:textId="77777777" w:rsidR="003C79C8" w:rsidRDefault="003C79C8">
      <w:pPr>
        <w:pStyle w:val="BodyText"/>
        <w:rPr>
          <w:sz w:val="20"/>
        </w:rPr>
      </w:pPr>
    </w:p>
    <w:p w14:paraId="4131A15C" w14:textId="77777777" w:rsidR="003C79C8" w:rsidRDefault="003C79C8">
      <w:pPr>
        <w:pStyle w:val="BodyText"/>
        <w:rPr>
          <w:sz w:val="20"/>
        </w:rPr>
      </w:pPr>
    </w:p>
    <w:p w14:paraId="28082535" w14:textId="77777777" w:rsidR="003C79C8" w:rsidRDefault="003C79C8">
      <w:pPr>
        <w:pStyle w:val="BodyText"/>
        <w:spacing w:before="6"/>
        <w:rPr>
          <w:sz w:val="22"/>
        </w:rPr>
      </w:pPr>
    </w:p>
    <w:p w14:paraId="5B88337A" w14:textId="77777777" w:rsidR="003C79C8" w:rsidRDefault="00007613">
      <w:pPr>
        <w:tabs>
          <w:tab w:val="left" w:pos="3215"/>
          <w:tab w:val="left" w:pos="5796"/>
        </w:tabs>
        <w:ind w:left="432"/>
        <w:rPr>
          <w:sz w:val="20"/>
        </w:rPr>
      </w:pPr>
      <w:r>
        <w:rPr>
          <w:noProof/>
          <w:position w:val="43"/>
          <w:sz w:val="20"/>
          <w:lang w:val="de-AT" w:eastAsia="de-AT" w:bidi="ar-SA"/>
        </w:rPr>
        <w:drawing>
          <wp:inline distT="0" distB="0" distL="0" distR="0" wp14:anchorId="2F7B3D41" wp14:editId="25E9ABB3">
            <wp:extent cx="1315549" cy="6659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49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  <w:tab/>
      </w:r>
      <w:r>
        <w:rPr>
          <w:noProof/>
          <w:sz w:val="20"/>
          <w:lang w:val="de-AT" w:eastAsia="de-AT" w:bidi="ar-SA"/>
        </w:rPr>
        <w:drawing>
          <wp:inline distT="0" distB="0" distL="0" distR="0" wp14:anchorId="106CB7A4" wp14:editId="35CDB83D">
            <wp:extent cx="1226079" cy="117138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079" cy="117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  <w:lang w:val="de-AT" w:eastAsia="de-AT" w:bidi="ar-SA"/>
        </w:rPr>
        <w:drawing>
          <wp:inline distT="0" distB="0" distL="0" distR="0" wp14:anchorId="3021D5B3" wp14:editId="1D101031">
            <wp:extent cx="1989362" cy="80276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362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BA544" w14:textId="77777777" w:rsidR="003C79C8" w:rsidRDefault="003C79C8">
      <w:pPr>
        <w:pStyle w:val="BodyText"/>
        <w:rPr>
          <w:sz w:val="20"/>
        </w:rPr>
      </w:pPr>
    </w:p>
    <w:p w14:paraId="0C6FE24B" w14:textId="77777777" w:rsidR="003C79C8" w:rsidRDefault="003C79C8">
      <w:pPr>
        <w:pStyle w:val="BodyText"/>
        <w:spacing w:before="5"/>
        <w:rPr>
          <w:sz w:val="21"/>
        </w:rPr>
      </w:pPr>
    </w:p>
    <w:p w14:paraId="3B4920C0" w14:textId="77777777" w:rsidR="003C79C8" w:rsidRDefault="00007613">
      <w:pPr>
        <w:pStyle w:val="Heading1"/>
        <w:spacing w:before="90" w:line="360" w:lineRule="auto"/>
        <w:ind w:right="119"/>
        <w:jc w:val="both"/>
      </w:pPr>
      <w:r>
        <w:t>Exploring opportunities for cooperation between Europe and South Asia in the South Caucasus region</w:t>
      </w:r>
    </w:p>
    <w:p w14:paraId="7F7A46DB" w14:textId="77777777" w:rsidR="003C79C8" w:rsidRDefault="003C79C8">
      <w:pPr>
        <w:pStyle w:val="BodyText"/>
        <w:spacing w:before="6"/>
        <w:rPr>
          <w:b/>
          <w:sz w:val="35"/>
        </w:rPr>
      </w:pPr>
    </w:p>
    <w:p w14:paraId="10FD28FC" w14:textId="76348EED" w:rsidR="003C79C8" w:rsidRDefault="00007613">
      <w:pPr>
        <w:pStyle w:val="BodyText"/>
        <w:spacing w:line="360" w:lineRule="auto"/>
        <w:ind w:left="100" w:right="115"/>
        <w:jc w:val="both"/>
      </w:pPr>
      <w:r>
        <w:t>In</w:t>
      </w:r>
      <w:r>
        <w:rPr>
          <w:spacing w:val="-5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2019,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(EU)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Japan</w:t>
      </w:r>
      <w:r>
        <w:rPr>
          <w:spacing w:val="-7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partnership</w:t>
      </w:r>
      <w:r>
        <w:rPr>
          <w:spacing w:val="-6"/>
        </w:rPr>
        <w:t xml:space="preserve"> </w:t>
      </w:r>
      <w:r>
        <w:t xml:space="preserve">intended to promote investment and development projects and </w:t>
      </w:r>
      <w:proofErr w:type="spellStart"/>
      <w:r>
        <w:t>characterised</w:t>
      </w:r>
      <w:proofErr w:type="spellEnd"/>
      <w:r>
        <w:t xml:space="preserve"> by </w:t>
      </w:r>
      <w:r w:rsidR="009C0DEE">
        <w:t xml:space="preserve">principles of </w:t>
      </w:r>
      <w:r>
        <w:t>rules-based</w:t>
      </w:r>
      <w:r w:rsidR="009C0DEE">
        <w:t xml:space="preserve"> connectivity</w:t>
      </w:r>
      <w:r>
        <w:t xml:space="preserve"> and sustainab</w:t>
      </w:r>
      <w:r w:rsidR="009C0DEE">
        <w:t>ility</w:t>
      </w:r>
      <w:r>
        <w:t>. The deal will cover all dimensions of connectivity - including digital, transport-related, energy and people-to-people exchanges. It also considers other crucial aspects such as environmental awareness and protections as well as quality infrastructure.</w:t>
      </w:r>
      <w:r>
        <w:rPr>
          <w:spacing w:val="-40"/>
        </w:rPr>
        <w:t xml:space="preserve"> </w:t>
      </w:r>
      <w:r>
        <w:t>The deepening of this comprehensive collaboration is not limited to a specific geographic area. Instead it is open and inclusive, ambitioning to cover all territories ‘from the Indo-Pacific to the Western Balkans and Africa’. As such, the new agreement between Brussels and Tokyo not only determines a crucial constituent of the overall ‘</w:t>
      </w:r>
      <w:hyperlink r:id="rId10">
        <w:r>
          <w:rPr>
            <w:color w:val="0000FF"/>
            <w:u w:val="single" w:color="0000FF"/>
          </w:rPr>
          <w:t>EU Strategy on Connecting Europe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5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Asia</w:t>
        </w:r>
      </w:hyperlink>
      <w:r>
        <w:t>’</w:t>
      </w:r>
      <w:r>
        <w:rPr>
          <w:spacing w:val="-1"/>
        </w:rPr>
        <w:t xml:space="preserve"> </w:t>
      </w:r>
      <w:r>
        <w:t>(which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‘</w:t>
      </w:r>
      <w:hyperlink r:id="rId12">
        <w:r>
          <w:rPr>
            <w:color w:val="0000FF"/>
            <w:u w:val="single" w:color="0000FF"/>
          </w:rPr>
          <w:t>EU’s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Global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Strategy</w:t>
        </w:r>
      </w:hyperlink>
      <w:r>
        <w:t>’)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flank and</w:t>
      </w:r>
      <w:r>
        <w:rPr>
          <w:spacing w:val="-7"/>
        </w:rPr>
        <w:t xml:space="preserve"> </w:t>
      </w:r>
      <w:r>
        <w:t>strengthen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‘</w:t>
      </w:r>
      <w:hyperlink r:id="rId13">
        <w:r>
          <w:rPr>
            <w:color w:val="0000FF"/>
            <w:u w:val="single" w:color="0000FF"/>
          </w:rPr>
          <w:t>EU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Strategy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India</w:t>
        </w:r>
      </w:hyperlink>
      <w:r>
        <w:t>’,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‘</w:t>
      </w:r>
      <w:hyperlink r:id="rId14">
        <w:r>
          <w:rPr>
            <w:color w:val="0000FF"/>
            <w:u w:val="single" w:color="0000FF"/>
          </w:rPr>
          <w:t>EU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Strategy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Central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Asia</w:t>
        </w:r>
      </w:hyperlink>
      <w:r>
        <w:t>’.</w:t>
      </w:r>
      <w:r>
        <w:rPr>
          <w:spacing w:val="-5"/>
        </w:rPr>
        <w:t xml:space="preserve"> </w:t>
      </w:r>
      <w:r w:rsidRPr="008E3B07">
        <w:rPr>
          <w:spacing w:val="-3"/>
        </w:rPr>
        <w:t>In</w:t>
      </w:r>
      <w:r w:rsidRPr="008E3B07">
        <w:rPr>
          <w:spacing w:val="-7"/>
        </w:rPr>
        <w:t xml:space="preserve"> </w:t>
      </w:r>
      <w:r w:rsidRPr="008E3B07">
        <w:t>spite of</w:t>
      </w:r>
      <w:r w:rsidRPr="008E3B07">
        <w:rPr>
          <w:spacing w:val="-18"/>
        </w:rPr>
        <w:t xml:space="preserve"> </w:t>
      </w:r>
      <w:r w:rsidRPr="008E3B07">
        <w:t>being</w:t>
      </w:r>
      <w:r w:rsidRPr="008E3B07">
        <w:rPr>
          <w:spacing w:val="-18"/>
        </w:rPr>
        <w:t xml:space="preserve"> </w:t>
      </w:r>
      <w:r w:rsidRPr="008E3B07">
        <w:t>included</w:t>
      </w:r>
      <w:r w:rsidRPr="008E3B07">
        <w:rPr>
          <w:spacing w:val="-15"/>
        </w:rPr>
        <w:t xml:space="preserve"> </w:t>
      </w:r>
      <w:r w:rsidRPr="008E3B07">
        <w:t>in</w:t>
      </w:r>
      <w:r w:rsidRPr="008E3B07">
        <w:rPr>
          <w:spacing w:val="-15"/>
        </w:rPr>
        <w:t xml:space="preserve"> </w:t>
      </w:r>
      <w:r w:rsidRPr="008E3B07">
        <w:t>the</w:t>
      </w:r>
      <w:r w:rsidRPr="008E3B07">
        <w:rPr>
          <w:spacing w:val="-16"/>
        </w:rPr>
        <w:t xml:space="preserve"> </w:t>
      </w:r>
      <w:r w:rsidRPr="008E3B07">
        <w:t>EU’s</w:t>
      </w:r>
      <w:r w:rsidRPr="008E3B07">
        <w:rPr>
          <w:spacing w:val="-16"/>
        </w:rPr>
        <w:t xml:space="preserve"> </w:t>
      </w:r>
      <w:r w:rsidR="009C0DEE" w:rsidRPr="008E3B07">
        <w:rPr>
          <w:spacing w:val="-16"/>
        </w:rPr>
        <w:t xml:space="preserve">Eastern Partnership </w:t>
      </w:r>
      <w:proofErr w:type="spellStart"/>
      <w:r w:rsidR="009C0DEE" w:rsidRPr="008E3B07">
        <w:rPr>
          <w:spacing w:val="-16"/>
        </w:rPr>
        <w:t>Programme</w:t>
      </w:r>
      <w:proofErr w:type="spellEnd"/>
      <w:r w:rsidR="009C0DEE" w:rsidRPr="008E3B07">
        <w:rPr>
          <w:spacing w:val="-16"/>
        </w:rPr>
        <w:t xml:space="preserve">, </w:t>
      </w:r>
      <w:r w:rsidRPr="008E3B07">
        <w:t>Brussels has yet to formulate an explicit</w:t>
      </w:r>
      <w:r w:rsidRPr="008E3B07">
        <w:rPr>
          <w:spacing w:val="-4"/>
        </w:rPr>
        <w:t xml:space="preserve"> </w:t>
      </w:r>
      <w:r w:rsidRPr="008E3B07">
        <w:t>strategy</w:t>
      </w:r>
      <w:r w:rsidRPr="008E3B07">
        <w:rPr>
          <w:spacing w:val="-8"/>
        </w:rPr>
        <w:t xml:space="preserve"> </w:t>
      </w:r>
      <w:r w:rsidRPr="008E3B07">
        <w:t>regarding</w:t>
      </w:r>
      <w:r w:rsidRPr="008E3B07">
        <w:rPr>
          <w:spacing w:val="-6"/>
        </w:rPr>
        <w:t xml:space="preserve"> </w:t>
      </w:r>
      <w:r w:rsidRPr="008E3B07">
        <w:t>the</w:t>
      </w:r>
      <w:r w:rsidRPr="008E3B07">
        <w:rPr>
          <w:spacing w:val="-5"/>
        </w:rPr>
        <w:t xml:space="preserve"> </w:t>
      </w:r>
      <w:r w:rsidRPr="008E3B07">
        <w:t>South</w:t>
      </w:r>
      <w:r w:rsidRPr="008E3B07">
        <w:rPr>
          <w:spacing w:val="-4"/>
        </w:rPr>
        <w:t xml:space="preserve"> </w:t>
      </w:r>
      <w:r w:rsidRPr="008E3B07">
        <w:t>Caucasus</w:t>
      </w:r>
      <w:r w:rsidRPr="008E3B07">
        <w:rPr>
          <w:spacing w:val="-3"/>
        </w:rPr>
        <w:t xml:space="preserve"> </w:t>
      </w:r>
      <w:r w:rsidRPr="008E3B07">
        <w:t>area.</w:t>
      </w:r>
      <w:r>
        <w:rPr>
          <w:spacing w:val="-5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extraordinarily</w:t>
      </w:r>
      <w:r>
        <w:rPr>
          <w:spacing w:val="-7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is geographically well positioned to function as a bridge between different Asian regions and between</w:t>
      </w:r>
      <w:r>
        <w:rPr>
          <w:spacing w:val="-11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EU.</w:t>
      </w:r>
      <w:r>
        <w:rPr>
          <w:spacing w:val="-11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instruments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frameworks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European engagement in cross-regional connectivity, the South Caucasus could serve not only as a destination for EU-supported development projects - including multi-national projects engaging both local and extra-regional actors such as India and Japan - but also as a link between</w:t>
      </w:r>
      <w:r>
        <w:rPr>
          <w:spacing w:val="19"/>
        </w:rPr>
        <w:t xml:space="preserve"> </w:t>
      </w:r>
      <w:r>
        <w:t>different</w:t>
      </w:r>
      <w:r>
        <w:rPr>
          <w:spacing w:val="20"/>
        </w:rPr>
        <w:t xml:space="preserve"> </w:t>
      </w:r>
      <w:r>
        <w:t>connectivity</w:t>
      </w:r>
      <w:r>
        <w:rPr>
          <w:spacing w:val="15"/>
        </w:rPr>
        <w:t xml:space="preserve"> </w:t>
      </w:r>
      <w:r>
        <w:t>ambitions.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South</w:t>
      </w:r>
      <w:r>
        <w:rPr>
          <w:spacing w:val="17"/>
        </w:rPr>
        <w:t xml:space="preserve"> </w:t>
      </w:r>
      <w:r>
        <w:t>Caucasus</w:t>
      </w:r>
      <w:r>
        <w:rPr>
          <w:spacing w:val="20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historically</w:t>
      </w:r>
      <w:r>
        <w:rPr>
          <w:spacing w:val="15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a</w:t>
      </w:r>
    </w:p>
    <w:p w14:paraId="5B1A14E6" w14:textId="77777777" w:rsidR="003C79C8" w:rsidRDefault="003C79C8">
      <w:pPr>
        <w:spacing w:line="360" w:lineRule="auto"/>
        <w:jc w:val="both"/>
        <w:sectPr w:rsidR="003C79C8">
          <w:headerReference w:type="default" r:id="rId15"/>
          <w:footerReference w:type="default" r:id="rId16"/>
          <w:type w:val="continuous"/>
          <w:pgSz w:w="11910" w:h="16840"/>
          <w:pgMar w:top="1660" w:right="1320" w:bottom="1740" w:left="1340" w:header="581" w:footer="1558" w:gutter="0"/>
          <w:cols w:space="720"/>
        </w:sectPr>
      </w:pPr>
    </w:p>
    <w:p w14:paraId="12A0B517" w14:textId="77777777" w:rsidR="003C79C8" w:rsidRDefault="00007613">
      <w:pPr>
        <w:pStyle w:val="BodyText"/>
        <w:spacing w:before="116" w:line="360" w:lineRule="auto"/>
        <w:ind w:left="100" w:right="115"/>
        <w:jc w:val="both"/>
      </w:pPr>
      <w:r>
        <w:lastRenderedPageBreak/>
        <w:t>European gateway to Asia - in particular to South Asia; much trade and mutual engagement has taken place and could again. The EU itself of course should participate and even take the lead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realising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renewed</w:t>
      </w:r>
      <w:r>
        <w:rPr>
          <w:spacing w:val="-8"/>
        </w:rPr>
        <w:t xml:space="preserve"> </w:t>
      </w:r>
      <w:r>
        <w:t>connectivity</w:t>
      </w:r>
      <w:r>
        <w:rPr>
          <w:spacing w:val="-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21st</w:t>
      </w:r>
      <w:r>
        <w:rPr>
          <w:spacing w:val="-5"/>
        </w:rPr>
        <w:t xml:space="preserve"> </w:t>
      </w:r>
      <w:r>
        <w:t>century</w:t>
      </w:r>
      <w:r>
        <w:rPr>
          <w:spacing w:val="-13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reinforce</w:t>
      </w:r>
      <w:r>
        <w:rPr>
          <w:spacing w:val="-10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with South Asia and its vision across Eurasia as a</w:t>
      </w:r>
      <w:r>
        <w:rPr>
          <w:spacing w:val="-6"/>
        </w:rPr>
        <w:t xml:space="preserve"> </w:t>
      </w:r>
      <w:r>
        <w:t>whole.</w:t>
      </w:r>
    </w:p>
    <w:p w14:paraId="3A4FFEA9" w14:textId="77777777" w:rsidR="003C79C8" w:rsidRDefault="00007613">
      <w:pPr>
        <w:pStyle w:val="BodyText"/>
        <w:spacing w:line="360" w:lineRule="auto"/>
        <w:ind w:left="100" w:right="116"/>
        <w:jc w:val="both"/>
      </w:pPr>
      <w:r>
        <w:t xml:space="preserve">Having this in mind, the SADF Round table, which is jointly </w:t>
      </w:r>
      <w:proofErr w:type="spellStart"/>
      <w:r>
        <w:t>organised</w:t>
      </w:r>
      <w:proofErr w:type="spellEnd"/>
      <w:r>
        <w:t xml:space="preserve"> with the ‘Centre for South</w:t>
      </w:r>
      <w:r>
        <w:rPr>
          <w:spacing w:val="-5"/>
        </w:rPr>
        <w:t xml:space="preserve"> </w:t>
      </w:r>
      <w:r>
        <w:t>Caucasus-South</w:t>
      </w:r>
      <w:r>
        <w:rPr>
          <w:spacing w:val="-4"/>
        </w:rPr>
        <w:t xml:space="preserve"> </w:t>
      </w:r>
      <w:r>
        <w:t>Asia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Development’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‘Association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Studies for the Caucasus’, will explore and discuss different venues of potential cooperation between Asia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Europe</w:t>
      </w:r>
      <w:r>
        <w:rPr>
          <w:spacing w:val="-1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t>focus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South</w:t>
      </w:r>
      <w:r>
        <w:rPr>
          <w:spacing w:val="-11"/>
        </w:rPr>
        <w:t xml:space="preserve"> </w:t>
      </w:r>
      <w:r>
        <w:t>Caucasus.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considered</w:t>
      </w:r>
      <w:r>
        <w:rPr>
          <w:spacing w:val="-14"/>
        </w:rPr>
        <w:t xml:space="preserve"> </w:t>
      </w:r>
      <w:r>
        <w:t>topics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include geopolitical, geo-economical, and socio-cultural</w:t>
      </w:r>
      <w:r>
        <w:rPr>
          <w:spacing w:val="1"/>
        </w:rPr>
        <w:t xml:space="preserve"> </w:t>
      </w:r>
      <w:r>
        <w:t>aspects.</w:t>
      </w:r>
    </w:p>
    <w:p w14:paraId="29E961ED" w14:textId="77777777" w:rsidR="003C79C8" w:rsidRDefault="003C79C8">
      <w:pPr>
        <w:pStyle w:val="BodyText"/>
        <w:spacing w:before="3"/>
        <w:rPr>
          <w:sz w:val="36"/>
        </w:rPr>
      </w:pPr>
    </w:p>
    <w:p w14:paraId="795E9457" w14:textId="77777777" w:rsidR="003C79C8" w:rsidRDefault="00007613">
      <w:pPr>
        <w:pStyle w:val="Heading1"/>
      </w:pPr>
      <w:r>
        <w:t>Format of the event:</w:t>
      </w:r>
    </w:p>
    <w:p w14:paraId="3C6DC63E" w14:textId="77777777" w:rsidR="003C79C8" w:rsidRDefault="00007613">
      <w:pPr>
        <w:pStyle w:val="ListParagraph"/>
        <w:numPr>
          <w:ilvl w:val="0"/>
          <w:numId w:val="3"/>
        </w:numPr>
        <w:tabs>
          <w:tab w:val="left" w:pos="240"/>
        </w:tabs>
        <w:spacing w:before="135"/>
        <w:rPr>
          <w:sz w:val="24"/>
        </w:rPr>
      </w:pPr>
      <w:r>
        <w:rPr>
          <w:sz w:val="24"/>
        </w:rPr>
        <w:t>Round table; 90 to 120 minutes (depending on the number or</w:t>
      </w:r>
      <w:r>
        <w:rPr>
          <w:spacing w:val="-7"/>
          <w:sz w:val="24"/>
        </w:rPr>
        <w:t xml:space="preserve"> </w:t>
      </w:r>
      <w:r>
        <w:rPr>
          <w:sz w:val="24"/>
        </w:rPr>
        <w:t>speakers);</w:t>
      </w:r>
    </w:p>
    <w:p w14:paraId="5A5AFD15" w14:textId="77777777" w:rsidR="003C79C8" w:rsidRDefault="00007613">
      <w:pPr>
        <w:pStyle w:val="ListParagraph"/>
        <w:numPr>
          <w:ilvl w:val="0"/>
          <w:numId w:val="3"/>
        </w:numPr>
        <w:tabs>
          <w:tab w:val="left" w:pos="240"/>
        </w:tabs>
        <w:spacing w:before="136"/>
        <w:rPr>
          <w:sz w:val="24"/>
        </w:rPr>
      </w:pPr>
      <w:r>
        <w:rPr>
          <w:sz w:val="24"/>
        </w:rPr>
        <w:t>Venue: office of the South Asia Democratic Forum (SADF),</w:t>
      </w:r>
      <w:r>
        <w:rPr>
          <w:spacing w:val="-8"/>
          <w:sz w:val="24"/>
        </w:rPr>
        <w:t xml:space="preserve"> </w:t>
      </w:r>
      <w:r>
        <w:rPr>
          <w:sz w:val="24"/>
        </w:rPr>
        <w:t>Brussels</w:t>
      </w:r>
    </w:p>
    <w:p w14:paraId="6FABF02F" w14:textId="0B791C0A" w:rsidR="003C79C8" w:rsidRDefault="00007613">
      <w:pPr>
        <w:pStyle w:val="ListParagraph"/>
        <w:numPr>
          <w:ilvl w:val="0"/>
          <w:numId w:val="3"/>
        </w:numPr>
        <w:tabs>
          <w:tab w:val="left" w:pos="240"/>
        </w:tabs>
        <w:spacing w:before="140"/>
        <w:rPr>
          <w:sz w:val="24"/>
        </w:rPr>
      </w:pPr>
      <w:r>
        <w:rPr>
          <w:sz w:val="24"/>
        </w:rPr>
        <w:t xml:space="preserve">Date &amp; Timing: Thursday 07 November 2019, from </w:t>
      </w:r>
      <w:r w:rsidRPr="00D32627">
        <w:rPr>
          <w:sz w:val="24"/>
        </w:rPr>
        <w:t>14H30 to 17H00</w:t>
      </w:r>
      <w:r>
        <w:rPr>
          <w:sz w:val="24"/>
        </w:rPr>
        <w:t xml:space="preserve"> </w:t>
      </w:r>
    </w:p>
    <w:p w14:paraId="322A27F2" w14:textId="77777777" w:rsidR="003C79C8" w:rsidRDefault="00007613">
      <w:pPr>
        <w:pStyle w:val="ListParagraph"/>
        <w:numPr>
          <w:ilvl w:val="0"/>
          <w:numId w:val="3"/>
        </w:numPr>
        <w:tabs>
          <w:tab w:val="left" w:pos="240"/>
        </w:tabs>
        <w:spacing w:before="136"/>
        <w:rPr>
          <w:sz w:val="24"/>
        </w:rPr>
      </w:pPr>
      <w:r>
        <w:rPr>
          <w:sz w:val="24"/>
        </w:rPr>
        <w:t>Maximum number of participants (speakers &amp; audience):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bookmarkStart w:id="0" w:name="_GoBack"/>
      <w:bookmarkEnd w:id="0"/>
    </w:p>
    <w:p w14:paraId="164B45E9" w14:textId="77777777" w:rsidR="003C79C8" w:rsidRDefault="003C79C8">
      <w:pPr>
        <w:pStyle w:val="BodyText"/>
        <w:rPr>
          <w:sz w:val="26"/>
        </w:rPr>
      </w:pPr>
    </w:p>
    <w:p w14:paraId="1A327191" w14:textId="77777777" w:rsidR="003C79C8" w:rsidRDefault="00007613">
      <w:pPr>
        <w:pStyle w:val="Heading1"/>
      </w:pPr>
      <w:proofErr w:type="spellStart"/>
      <w:r>
        <w:t>Programme</w:t>
      </w:r>
      <w:proofErr w:type="spellEnd"/>
      <w:r>
        <w:t>:</w:t>
      </w:r>
    </w:p>
    <w:p w14:paraId="32D0633E" w14:textId="3B4C9D14" w:rsidR="003C79C8" w:rsidRDefault="00007613" w:rsidP="001546B6">
      <w:pPr>
        <w:pStyle w:val="BodyText"/>
        <w:spacing w:before="135" w:line="360" w:lineRule="auto"/>
        <w:ind w:left="100"/>
      </w:pPr>
      <w:r>
        <w:rPr>
          <w:i/>
        </w:rPr>
        <w:t>Moderation</w:t>
      </w:r>
      <w:r>
        <w:t xml:space="preserve">: </w:t>
      </w:r>
      <w:r>
        <w:rPr>
          <w:b/>
        </w:rPr>
        <w:t>Dr Thomas Kruessmann</w:t>
      </w:r>
      <w:r>
        <w:t>, Senior Research Associate, Global Europe Centre University of Kent, and President of the Association of European Studies for the Caucasus</w:t>
      </w:r>
    </w:p>
    <w:p w14:paraId="5BFE1C40" w14:textId="77777777" w:rsidR="00811666" w:rsidRDefault="00811666" w:rsidP="00811666">
      <w:pPr>
        <w:spacing w:before="1"/>
        <w:rPr>
          <w:b/>
          <w:bCs/>
          <w:i/>
          <w:sz w:val="24"/>
        </w:rPr>
      </w:pPr>
    </w:p>
    <w:p w14:paraId="7F7C1D3B" w14:textId="50A16DCC" w:rsidR="003C79C8" w:rsidRDefault="00007613" w:rsidP="00811666">
      <w:pPr>
        <w:spacing w:before="1"/>
        <w:rPr>
          <w:i/>
          <w:sz w:val="24"/>
        </w:rPr>
      </w:pPr>
      <w:r w:rsidRPr="00811666">
        <w:rPr>
          <w:b/>
          <w:bCs/>
          <w:i/>
          <w:sz w:val="24"/>
        </w:rPr>
        <w:t>Welcome</w:t>
      </w:r>
      <w:r>
        <w:rPr>
          <w:i/>
          <w:sz w:val="24"/>
        </w:rPr>
        <w:t>:</w:t>
      </w:r>
    </w:p>
    <w:p w14:paraId="577A6D39" w14:textId="77777777" w:rsidR="003C79C8" w:rsidRDefault="00007613">
      <w:pPr>
        <w:pStyle w:val="BodyText"/>
        <w:spacing w:before="139"/>
        <w:ind w:left="100"/>
      </w:pPr>
      <w:r>
        <w:t xml:space="preserve">by </w:t>
      </w:r>
      <w:r w:rsidRPr="008E3B07">
        <w:rPr>
          <w:b/>
          <w:bCs/>
        </w:rPr>
        <w:t xml:space="preserve">Paulo </w:t>
      </w:r>
      <w:proofErr w:type="spellStart"/>
      <w:r w:rsidRPr="008E3B07">
        <w:rPr>
          <w:b/>
          <w:bCs/>
        </w:rPr>
        <w:t>Casaca</w:t>
      </w:r>
      <w:proofErr w:type="spellEnd"/>
      <w:r>
        <w:t>, Director of SADF</w:t>
      </w:r>
    </w:p>
    <w:p w14:paraId="0EBD093D" w14:textId="77777777" w:rsidR="00FC57BE" w:rsidRDefault="00FC57BE">
      <w:pPr>
        <w:pStyle w:val="BodyText"/>
        <w:spacing w:before="139"/>
        <w:ind w:left="100"/>
      </w:pPr>
    </w:p>
    <w:p w14:paraId="0518215C" w14:textId="3E8EA7BB" w:rsidR="003C79C8" w:rsidRDefault="00FC57BE" w:rsidP="00FC57BE">
      <w:pPr>
        <w:pStyle w:val="BodyText"/>
        <w:spacing w:before="139"/>
        <w:ind w:left="100"/>
      </w:pPr>
      <w:r>
        <w:t xml:space="preserve">Brief introduction about Caucasus-Asia Center: </w:t>
      </w:r>
      <w:r w:rsidRPr="008E3B07">
        <w:rPr>
          <w:b/>
          <w:bCs/>
        </w:rPr>
        <w:t xml:space="preserve">Sandal </w:t>
      </w:r>
      <w:proofErr w:type="spellStart"/>
      <w:r w:rsidRPr="008E3B07">
        <w:rPr>
          <w:b/>
          <w:bCs/>
        </w:rPr>
        <w:t>Kakkar</w:t>
      </w:r>
      <w:proofErr w:type="spellEnd"/>
      <w:r>
        <w:t xml:space="preserve"> </w:t>
      </w:r>
    </w:p>
    <w:p w14:paraId="09C482BE" w14:textId="77777777" w:rsidR="003C79C8" w:rsidRDefault="003C79C8">
      <w:pPr>
        <w:pStyle w:val="BodyText"/>
        <w:rPr>
          <w:sz w:val="22"/>
        </w:rPr>
      </w:pPr>
    </w:p>
    <w:p w14:paraId="52D86EF7" w14:textId="5BE17DE2" w:rsidR="003C79C8" w:rsidRDefault="00007613">
      <w:pPr>
        <w:ind w:left="100"/>
        <w:rPr>
          <w:i/>
          <w:sz w:val="24"/>
        </w:rPr>
      </w:pPr>
      <w:r>
        <w:rPr>
          <w:i/>
          <w:sz w:val="24"/>
        </w:rPr>
        <w:t>Speaker’s session:</w:t>
      </w:r>
    </w:p>
    <w:p w14:paraId="74A73970" w14:textId="77777777" w:rsidR="00A107B4" w:rsidRDefault="00A107B4">
      <w:pPr>
        <w:ind w:left="100"/>
        <w:rPr>
          <w:i/>
          <w:sz w:val="24"/>
        </w:rPr>
      </w:pPr>
    </w:p>
    <w:p w14:paraId="31597573" w14:textId="77777777" w:rsidR="003C79C8" w:rsidRDefault="003C79C8">
      <w:pPr>
        <w:pStyle w:val="BodyText"/>
        <w:rPr>
          <w:sz w:val="22"/>
        </w:rPr>
      </w:pPr>
    </w:p>
    <w:p w14:paraId="40292622" w14:textId="77777777" w:rsidR="008E3B07" w:rsidRDefault="008E3B07" w:rsidP="008E3B07">
      <w:pPr>
        <w:pStyle w:val="ListParagraph"/>
        <w:numPr>
          <w:ilvl w:val="0"/>
          <w:numId w:val="2"/>
        </w:numPr>
        <w:tabs>
          <w:tab w:val="left" w:pos="367"/>
        </w:tabs>
        <w:jc w:val="both"/>
        <w:rPr>
          <w:sz w:val="24"/>
        </w:rPr>
      </w:pPr>
      <w:r>
        <w:rPr>
          <w:b/>
          <w:sz w:val="24"/>
        </w:rPr>
        <w:t>Dr Siegfried O. Wolf</w:t>
      </w:r>
      <w:r>
        <w:rPr>
          <w:sz w:val="24"/>
        </w:rPr>
        <w:t>, Director of Research,</w:t>
      </w:r>
      <w:r>
        <w:rPr>
          <w:spacing w:val="-4"/>
          <w:sz w:val="24"/>
        </w:rPr>
        <w:t xml:space="preserve"> </w:t>
      </w:r>
      <w:r>
        <w:rPr>
          <w:sz w:val="24"/>
        </w:rPr>
        <w:t>SADF</w:t>
      </w:r>
    </w:p>
    <w:p w14:paraId="3F37D48A" w14:textId="1BB6D6C0" w:rsidR="00A107B4" w:rsidRDefault="008E3B07" w:rsidP="00D32627">
      <w:pPr>
        <w:spacing w:before="139" w:line="360" w:lineRule="auto"/>
        <w:ind w:left="100" w:right="120"/>
        <w:jc w:val="both"/>
        <w:rPr>
          <w:i/>
          <w:sz w:val="24"/>
        </w:rPr>
      </w:pPr>
      <w:r>
        <w:rPr>
          <w:i/>
          <w:sz w:val="24"/>
        </w:rPr>
        <w:t>Topic: The role of Economic Corridors in regional cooperation and their significance in building connectivity</w:t>
      </w:r>
    </w:p>
    <w:p w14:paraId="50594E4E" w14:textId="77777777" w:rsidR="00D32627" w:rsidRDefault="00D32627" w:rsidP="00D32627">
      <w:pPr>
        <w:spacing w:before="139" w:line="360" w:lineRule="auto"/>
        <w:ind w:left="100" w:right="120"/>
        <w:jc w:val="both"/>
        <w:rPr>
          <w:i/>
          <w:sz w:val="24"/>
        </w:rPr>
      </w:pPr>
    </w:p>
    <w:p w14:paraId="117A7AC7" w14:textId="77777777" w:rsidR="00FB0F59" w:rsidRDefault="00FB0F59" w:rsidP="00FB0F59">
      <w:pPr>
        <w:pStyle w:val="ListParagraph"/>
        <w:numPr>
          <w:ilvl w:val="0"/>
          <w:numId w:val="2"/>
        </w:numPr>
        <w:tabs>
          <w:tab w:val="left" w:pos="367"/>
        </w:tabs>
        <w:spacing w:before="1"/>
        <w:rPr>
          <w:sz w:val="24"/>
        </w:rPr>
      </w:pPr>
      <w:proofErr w:type="spellStart"/>
      <w:r>
        <w:rPr>
          <w:b/>
          <w:sz w:val="24"/>
        </w:rPr>
        <w:t>Elchin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Bashirov</w:t>
      </w:r>
      <w:proofErr w:type="spellEnd"/>
      <w:r>
        <w:rPr>
          <w:sz w:val="24"/>
        </w:rPr>
        <w:t>, Counsellor, Embassy of</w:t>
      </w:r>
      <w:r>
        <w:rPr>
          <w:spacing w:val="-6"/>
          <w:sz w:val="24"/>
        </w:rPr>
        <w:t xml:space="preserve"> </w:t>
      </w:r>
      <w:r>
        <w:rPr>
          <w:sz w:val="24"/>
        </w:rPr>
        <w:t>Azerbaijan</w:t>
      </w:r>
    </w:p>
    <w:p w14:paraId="22C4E508" w14:textId="139B8F3C" w:rsidR="00FB0F59" w:rsidRDefault="00FB0F59" w:rsidP="00FB0F59">
      <w:pPr>
        <w:spacing w:before="136"/>
        <w:ind w:left="100"/>
        <w:rPr>
          <w:i/>
          <w:sz w:val="24"/>
        </w:rPr>
      </w:pPr>
      <w:r>
        <w:rPr>
          <w:i/>
          <w:sz w:val="24"/>
        </w:rPr>
        <w:t>Topic: Azerbaijan connection perspectives in Southern Asia</w:t>
      </w:r>
    </w:p>
    <w:p w14:paraId="51D2AC10" w14:textId="3CDDC445" w:rsidR="00A107B4" w:rsidRPr="00A107B4" w:rsidRDefault="00A107B4" w:rsidP="00A107B4">
      <w:pPr>
        <w:pStyle w:val="ListParagraph"/>
        <w:numPr>
          <w:ilvl w:val="0"/>
          <w:numId w:val="2"/>
        </w:numPr>
        <w:spacing w:before="136"/>
        <w:rPr>
          <w:b/>
          <w:bCs/>
          <w:iCs/>
          <w:sz w:val="24"/>
        </w:rPr>
      </w:pPr>
      <w:proofErr w:type="spellStart"/>
      <w:r w:rsidRPr="00A107B4">
        <w:rPr>
          <w:b/>
          <w:bCs/>
          <w:iCs/>
          <w:sz w:val="24"/>
        </w:rPr>
        <w:lastRenderedPageBreak/>
        <w:t>Tornike</w:t>
      </w:r>
      <w:proofErr w:type="spellEnd"/>
      <w:r w:rsidRPr="00A107B4">
        <w:rPr>
          <w:b/>
          <w:bCs/>
          <w:iCs/>
          <w:sz w:val="24"/>
        </w:rPr>
        <w:t xml:space="preserve"> </w:t>
      </w:r>
      <w:proofErr w:type="spellStart"/>
      <w:r w:rsidRPr="00A107B4">
        <w:rPr>
          <w:b/>
          <w:bCs/>
          <w:iCs/>
          <w:sz w:val="24"/>
        </w:rPr>
        <w:t>Mgaloblishvili</w:t>
      </w:r>
      <w:proofErr w:type="spellEnd"/>
      <w:r>
        <w:rPr>
          <w:b/>
          <w:bCs/>
          <w:iCs/>
          <w:sz w:val="24"/>
        </w:rPr>
        <w:t xml:space="preserve">, </w:t>
      </w:r>
      <w:r w:rsidRPr="00A107B4">
        <w:rPr>
          <w:iCs/>
          <w:sz w:val="24"/>
        </w:rPr>
        <w:t>Sen</w:t>
      </w:r>
      <w:r>
        <w:rPr>
          <w:iCs/>
          <w:sz w:val="24"/>
        </w:rPr>
        <w:t>ior</w:t>
      </w:r>
      <w:r w:rsidR="00B17991">
        <w:rPr>
          <w:iCs/>
          <w:sz w:val="24"/>
        </w:rPr>
        <w:t xml:space="preserve"> Counsellor</w:t>
      </w:r>
      <w:r>
        <w:rPr>
          <w:iCs/>
          <w:sz w:val="24"/>
        </w:rPr>
        <w:t>, Mission of Georgia to the EU</w:t>
      </w:r>
    </w:p>
    <w:p w14:paraId="2E8BA591" w14:textId="09E9202E" w:rsidR="00FB0F59" w:rsidRPr="00A107B4" w:rsidRDefault="00A107B4" w:rsidP="008E3B07">
      <w:pPr>
        <w:spacing w:before="139" w:line="360" w:lineRule="auto"/>
        <w:ind w:left="100" w:right="120"/>
        <w:jc w:val="both"/>
        <w:rPr>
          <w:i/>
          <w:sz w:val="24"/>
        </w:rPr>
      </w:pPr>
      <w:r>
        <w:rPr>
          <w:iCs/>
          <w:sz w:val="24"/>
        </w:rPr>
        <w:t xml:space="preserve">    </w:t>
      </w:r>
      <w:r w:rsidRPr="00A107B4">
        <w:rPr>
          <w:i/>
          <w:sz w:val="24"/>
        </w:rPr>
        <w:t>Topic: TBD</w:t>
      </w:r>
    </w:p>
    <w:p w14:paraId="2EC56C23" w14:textId="77777777" w:rsidR="008E3B07" w:rsidRPr="008E3B07" w:rsidRDefault="008E3B07" w:rsidP="008E3B07">
      <w:pPr>
        <w:tabs>
          <w:tab w:val="left" w:pos="367"/>
        </w:tabs>
        <w:rPr>
          <w:sz w:val="24"/>
        </w:rPr>
      </w:pPr>
    </w:p>
    <w:p w14:paraId="4FFB95F1" w14:textId="694FA04C" w:rsidR="00EF0E0F" w:rsidRDefault="00EF0E0F" w:rsidP="008E3B07">
      <w:pPr>
        <w:pStyle w:val="ListParagraph"/>
        <w:numPr>
          <w:ilvl w:val="0"/>
          <w:numId w:val="2"/>
        </w:numPr>
        <w:tabs>
          <w:tab w:val="left" w:pos="367"/>
        </w:tabs>
        <w:rPr>
          <w:sz w:val="24"/>
        </w:rPr>
      </w:pPr>
      <w:r w:rsidRPr="00EF0E0F">
        <w:rPr>
          <w:b/>
          <w:bCs/>
          <w:sz w:val="24"/>
        </w:rPr>
        <w:t xml:space="preserve">Tinatin </w:t>
      </w:r>
      <w:proofErr w:type="spellStart"/>
      <w:r w:rsidRPr="00EF0E0F">
        <w:rPr>
          <w:b/>
          <w:bCs/>
          <w:sz w:val="24"/>
        </w:rPr>
        <w:t>Tsertsvadze</w:t>
      </w:r>
      <w:proofErr w:type="spellEnd"/>
      <w:r>
        <w:rPr>
          <w:sz w:val="24"/>
        </w:rPr>
        <w:t xml:space="preserve">, </w:t>
      </w:r>
      <w:r w:rsidRPr="00EF0E0F">
        <w:rPr>
          <w:sz w:val="24"/>
        </w:rPr>
        <w:t>Advocacy Director/ Gender Adviser</w:t>
      </w:r>
      <w:r>
        <w:rPr>
          <w:sz w:val="24"/>
        </w:rPr>
        <w:t xml:space="preserve"> </w:t>
      </w:r>
      <w:r w:rsidRPr="00EF0E0F">
        <w:rPr>
          <w:sz w:val="24"/>
        </w:rPr>
        <w:t>International Partnership for Human Rights</w:t>
      </w:r>
      <w:r>
        <w:rPr>
          <w:sz w:val="24"/>
        </w:rPr>
        <w:t xml:space="preserve"> (IPHR)</w:t>
      </w:r>
    </w:p>
    <w:p w14:paraId="01B41E3D" w14:textId="77777777" w:rsidR="00EF0E0F" w:rsidRPr="00FC1D16" w:rsidRDefault="00EF0E0F" w:rsidP="00EF0E0F">
      <w:pPr>
        <w:pStyle w:val="ListParagraph"/>
        <w:spacing w:before="137" w:line="360" w:lineRule="auto"/>
        <w:ind w:left="100" w:right="120" w:firstLine="0"/>
        <w:jc w:val="both"/>
        <w:rPr>
          <w:i/>
          <w:sz w:val="24"/>
        </w:rPr>
      </w:pPr>
      <w:r w:rsidRPr="00FC1D16">
        <w:rPr>
          <w:i/>
          <w:sz w:val="24"/>
        </w:rPr>
        <w:t>Topic:</w:t>
      </w:r>
      <w:r w:rsidRPr="00FC1D16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="00FC1D16" w:rsidRPr="00811666">
        <w:rPr>
          <w:i/>
          <w:color w:val="000000"/>
          <w:sz w:val="24"/>
          <w:szCs w:val="24"/>
          <w:shd w:val="clear" w:color="auto" w:fill="FFFFFF"/>
        </w:rPr>
        <w:t xml:space="preserve">Present state of </w:t>
      </w:r>
      <w:r w:rsidRPr="00811666">
        <w:rPr>
          <w:i/>
          <w:color w:val="000000"/>
          <w:sz w:val="24"/>
          <w:szCs w:val="24"/>
          <w:shd w:val="clear" w:color="auto" w:fill="FFFFFF"/>
        </w:rPr>
        <w:t>Democracy and Rule of Law</w:t>
      </w:r>
      <w:r w:rsidR="00FC1D16" w:rsidRPr="00811666">
        <w:rPr>
          <w:i/>
          <w:sz w:val="24"/>
          <w:szCs w:val="24"/>
        </w:rPr>
        <w:t xml:space="preserve"> in South Caucasus: a </w:t>
      </w:r>
      <w:r w:rsidRPr="00811666">
        <w:rPr>
          <w:i/>
          <w:sz w:val="24"/>
          <w:szCs w:val="24"/>
        </w:rPr>
        <w:t xml:space="preserve">catalyst or </w:t>
      </w:r>
      <w:r w:rsidR="00FC1D16" w:rsidRPr="00811666">
        <w:rPr>
          <w:i/>
          <w:sz w:val="24"/>
          <w:szCs w:val="24"/>
        </w:rPr>
        <w:t>a repeal</w:t>
      </w:r>
      <w:r w:rsidRPr="00811666">
        <w:rPr>
          <w:i/>
          <w:sz w:val="24"/>
          <w:szCs w:val="24"/>
        </w:rPr>
        <w:t xml:space="preserve"> </w:t>
      </w:r>
      <w:r w:rsidR="00FC1D16" w:rsidRPr="00811666">
        <w:rPr>
          <w:i/>
          <w:sz w:val="24"/>
          <w:szCs w:val="24"/>
        </w:rPr>
        <w:t>for global trade?</w:t>
      </w:r>
      <w:r w:rsidR="00FC1D16" w:rsidRPr="00FC1D16">
        <w:rPr>
          <w:i/>
          <w:sz w:val="24"/>
        </w:rPr>
        <w:t xml:space="preserve"> </w:t>
      </w:r>
    </w:p>
    <w:p w14:paraId="75F8BBE9" w14:textId="77777777" w:rsidR="00EF0E0F" w:rsidRPr="00EF0E0F" w:rsidRDefault="00EF0E0F" w:rsidP="00EF0E0F">
      <w:pPr>
        <w:pStyle w:val="ListParagraph"/>
        <w:tabs>
          <w:tab w:val="left" w:pos="367"/>
        </w:tabs>
        <w:ind w:firstLine="0"/>
        <w:rPr>
          <w:sz w:val="24"/>
        </w:rPr>
      </w:pPr>
    </w:p>
    <w:p w14:paraId="624DCADD" w14:textId="77777777" w:rsidR="003C79C8" w:rsidRPr="00C66DC9" w:rsidRDefault="00007613" w:rsidP="008E3B07">
      <w:pPr>
        <w:pStyle w:val="ListParagraph"/>
        <w:numPr>
          <w:ilvl w:val="0"/>
          <w:numId w:val="2"/>
        </w:numPr>
        <w:tabs>
          <w:tab w:val="left" w:pos="367"/>
        </w:tabs>
        <w:rPr>
          <w:sz w:val="24"/>
          <w:lang w:val="pt-PT"/>
        </w:rPr>
      </w:pPr>
      <w:r w:rsidRPr="00C66DC9">
        <w:rPr>
          <w:b/>
          <w:sz w:val="24"/>
          <w:lang w:val="pt-PT"/>
        </w:rPr>
        <w:t xml:space="preserve">Natalia Mirimanova, </w:t>
      </w:r>
      <w:r w:rsidRPr="00C66DC9">
        <w:rPr>
          <w:sz w:val="24"/>
          <w:lang w:val="pt-PT"/>
        </w:rPr>
        <w:t>Director at Eurasia Peace</w:t>
      </w:r>
      <w:r w:rsidRPr="00C66DC9">
        <w:rPr>
          <w:spacing w:val="2"/>
          <w:sz w:val="24"/>
          <w:lang w:val="pt-PT"/>
        </w:rPr>
        <w:t xml:space="preserve"> </w:t>
      </w:r>
      <w:r w:rsidRPr="00C66DC9">
        <w:rPr>
          <w:sz w:val="24"/>
          <w:lang w:val="pt-PT"/>
        </w:rPr>
        <w:t>Inititatives</w:t>
      </w:r>
    </w:p>
    <w:p w14:paraId="5D6C5C5F" w14:textId="77777777" w:rsidR="003C79C8" w:rsidRDefault="00007613">
      <w:pPr>
        <w:spacing w:before="137" w:line="360" w:lineRule="auto"/>
        <w:ind w:left="100" w:right="120"/>
        <w:jc w:val="both"/>
        <w:rPr>
          <w:i/>
          <w:sz w:val="24"/>
        </w:rPr>
      </w:pPr>
      <w:r>
        <w:rPr>
          <w:i/>
          <w:sz w:val="24"/>
        </w:rPr>
        <w:t>Topic: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non-state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actors: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catalyst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towards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establishing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inter-regional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connectivity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 cooperation?</w:t>
      </w:r>
    </w:p>
    <w:p w14:paraId="21208B6B" w14:textId="77777777" w:rsidR="003C79C8" w:rsidRDefault="003C79C8">
      <w:pPr>
        <w:pStyle w:val="BodyText"/>
        <w:spacing w:before="1"/>
        <w:rPr>
          <w:i/>
          <w:sz w:val="36"/>
        </w:rPr>
      </w:pPr>
    </w:p>
    <w:p w14:paraId="789158B7" w14:textId="77777777" w:rsidR="003C79C8" w:rsidRDefault="00007613" w:rsidP="008E3B07">
      <w:pPr>
        <w:pStyle w:val="ListParagraph"/>
        <w:numPr>
          <w:ilvl w:val="0"/>
          <w:numId w:val="2"/>
        </w:numPr>
        <w:tabs>
          <w:tab w:val="left" w:pos="367"/>
        </w:tabs>
        <w:jc w:val="both"/>
        <w:rPr>
          <w:sz w:val="24"/>
        </w:rPr>
      </w:pPr>
      <w:r>
        <w:rPr>
          <w:b/>
          <w:sz w:val="24"/>
        </w:rPr>
        <w:t>Hriday Ch. Sarma</w:t>
      </w:r>
      <w:r>
        <w:rPr>
          <w:sz w:val="24"/>
        </w:rPr>
        <w:t>, Founder &amp; Team-Coordinator for the Caucasus-Asia</w:t>
      </w:r>
      <w:r>
        <w:rPr>
          <w:spacing w:val="-9"/>
          <w:sz w:val="24"/>
        </w:rPr>
        <w:t xml:space="preserve"> </w:t>
      </w:r>
      <w:r>
        <w:rPr>
          <w:sz w:val="24"/>
        </w:rPr>
        <w:t>Centre</w:t>
      </w:r>
    </w:p>
    <w:p w14:paraId="7B05644E" w14:textId="77777777" w:rsidR="00FC57BE" w:rsidRDefault="00007613">
      <w:pPr>
        <w:spacing w:before="137" w:line="360" w:lineRule="auto"/>
        <w:ind w:left="100" w:right="119"/>
        <w:jc w:val="both"/>
        <w:rPr>
          <w:i/>
          <w:sz w:val="24"/>
        </w:rPr>
      </w:pPr>
      <w:r>
        <w:rPr>
          <w:i/>
          <w:sz w:val="24"/>
        </w:rPr>
        <w:t xml:space="preserve">Topic: Historic trade routes evolving as 21st century corridors for contestation or cooperation? Importance of historic monuments </w:t>
      </w:r>
      <w:proofErr w:type="spellStart"/>
      <w:r>
        <w:rPr>
          <w:i/>
          <w:sz w:val="24"/>
        </w:rPr>
        <w:t>symbolising</w:t>
      </w:r>
      <w:proofErr w:type="spellEnd"/>
      <w:r>
        <w:rPr>
          <w:i/>
          <w:sz w:val="24"/>
        </w:rPr>
        <w:t xml:space="preserve"> the other in one’s land, such as the Armenian Church Chennai, Fire Temple of Baku, etc.</w:t>
      </w:r>
    </w:p>
    <w:p w14:paraId="18E6000C" w14:textId="77777777" w:rsidR="003C79C8" w:rsidRDefault="003C79C8">
      <w:pPr>
        <w:pStyle w:val="BodyText"/>
        <w:spacing w:before="1"/>
        <w:rPr>
          <w:i/>
          <w:sz w:val="36"/>
        </w:rPr>
      </w:pPr>
    </w:p>
    <w:p w14:paraId="3F1E570D" w14:textId="4203CC48" w:rsidR="00811666" w:rsidRPr="00811666" w:rsidRDefault="00811666" w:rsidP="00811666">
      <w:pPr>
        <w:pStyle w:val="ListParagraph"/>
        <w:spacing w:before="139" w:line="360" w:lineRule="auto"/>
        <w:ind w:left="100" w:right="120" w:firstLine="0"/>
        <w:jc w:val="both"/>
        <w:rPr>
          <w:iCs/>
          <w:sz w:val="24"/>
        </w:rPr>
      </w:pPr>
    </w:p>
    <w:sectPr w:rsidR="00811666" w:rsidRPr="00811666">
      <w:pgSz w:w="11910" w:h="16840"/>
      <w:pgMar w:top="1660" w:right="1320" w:bottom="1740" w:left="1340" w:header="581" w:footer="1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5273" w14:textId="77777777" w:rsidR="00F67F80" w:rsidRDefault="00F67F80">
      <w:r>
        <w:separator/>
      </w:r>
    </w:p>
  </w:endnote>
  <w:endnote w:type="continuationSeparator" w:id="0">
    <w:p w14:paraId="54965069" w14:textId="77777777" w:rsidR="00F67F80" w:rsidRDefault="00F6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0746" w14:textId="77777777" w:rsidR="003C79C8" w:rsidRDefault="00FC1D16">
    <w:pPr>
      <w:pStyle w:val="BodyText"/>
      <w:spacing w:line="14" w:lineRule="auto"/>
      <w:rPr>
        <w:sz w:val="20"/>
      </w:rPr>
    </w:pPr>
    <w:r>
      <w:rPr>
        <w:noProof/>
        <w:lang w:val="de-AT" w:eastAsia="de-AT" w:bidi="ar-SA"/>
      </w:rPr>
      <mc:AlternateContent>
        <mc:Choice Requires="wps">
          <w:drawing>
            <wp:anchor distT="0" distB="0" distL="114300" distR="114300" simplePos="0" relativeHeight="251527168" behindDoc="1" locked="0" layoutInCell="1" allowOverlap="1" wp14:anchorId="3440528F" wp14:editId="22ABF637">
              <wp:simplePos x="0" y="0"/>
              <wp:positionH relativeFrom="page">
                <wp:posOffset>2286000</wp:posOffset>
              </wp:positionH>
              <wp:positionV relativeFrom="page">
                <wp:posOffset>9563100</wp:posOffset>
              </wp:positionV>
              <wp:extent cx="2990850" cy="689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A19ED" w14:textId="77777777" w:rsidR="003C79C8" w:rsidRDefault="00007613">
                          <w:pPr>
                            <w:ind w:left="19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19 Avenue des Arts 2</w:t>
                          </w:r>
                          <w:r>
                            <w:rPr>
                              <w:rFonts w:ascii="Calibri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Calibri"/>
                            </w:rPr>
                            <w:t xml:space="preserve"> floor, 1210 Brussels, Belgium BE 833606320 RPM </w:t>
                          </w:r>
                          <w:proofErr w:type="spellStart"/>
                          <w:r>
                            <w:rPr>
                              <w:rFonts w:ascii="Calibri"/>
                            </w:rPr>
                            <w:t>Bruxelles</w:t>
                          </w:r>
                          <w:proofErr w:type="spellEnd"/>
                        </w:p>
                        <w:p w14:paraId="310182D3" w14:textId="77777777" w:rsidR="003C79C8" w:rsidRDefault="00007613">
                          <w:pPr>
                            <w:ind w:left="399" w:right="404" w:firstLine="3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info@sadf.eu</w:t>
                            </w:r>
                            <w:r>
                              <w:rPr>
                                <w:rFonts w:ascii="Calibri"/>
                                <w:color w:val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www.sadf.eu</w:t>
                            </w:r>
                          </w:hyperlink>
                          <w:r>
                            <w:rPr>
                              <w:rFonts w:ascii="Calibri"/>
                              <w:color w:val="0000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Contacts: +12 026 834 180; +32 2 808 42 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052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0pt;margin-top:753pt;width:235.5pt;height:54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" filled="f" stroked="f">
              <v:textbox inset="0,0,0,0">
                <w:txbxContent>
                  <w:p w14:paraId="553A19ED" w14:textId="77777777" w:rsidR="003C79C8" w:rsidRDefault="00007613">
                    <w:pPr>
                      <w:ind w:left="19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19 Avenue des Arts 2</w:t>
                    </w:r>
                    <w:r>
                      <w:rPr>
                        <w:rFonts w:ascii="Calibri"/>
                        <w:vertAlign w:val="superscript"/>
                      </w:rPr>
                      <w:t>nd</w:t>
                    </w:r>
                    <w:r>
                      <w:rPr>
                        <w:rFonts w:ascii="Calibri"/>
                      </w:rPr>
                      <w:t xml:space="preserve"> floor, 1210 Brussels, Belgium BE 833606320 RPM </w:t>
                    </w:r>
                    <w:proofErr w:type="spellStart"/>
                    <w:r>
                      <w:rPr>
                        <w:rFonts w:ascii="Calibri"/>
                      </w:rPr>
                      <w:t>Bruxelles</w:t>
                    </w:r>
                    <w:proofErr w:type="spellEnd"/>
                  </w:p>
                  <w:p w14:paraId="310182D3" w14:textId="77777777" w:rsidR="003C79C8" w:rsidRDefault="00007613">
                    <w:pPr>
                      <w:ind w:left="399" w:right="404" w:firstLine="3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Email: </w:t>
                    </w:r>
                    <w:hyperlink r:id="rId3">
                      <w:r>
                        <w:rPr>
                          <w:rFonts w:ascii="Calibri"/>
                          <w:color w:val="0000FF"/>
                          <w:u w:val="single" w:color="0000FF"/>
                        </w:rPr>
                        <w:t>info@sadf.eu</w:t>
                      </w:r>
                      <w:r>
                        <w:rPr>
                          <w:rFonts w:ascii="Calibri"/>
                          <w:color w:val="0000FF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</w:rPr>
                      <w:t xml:space="preserve">Web: </w:t>
                    </w:r>
                    <w:hyperlink r:id="rId4">
                      <w:r>
                        <w:rPr>
                          <w:rFonts w:ascii="Calibri"/>
                          <w:color w:val="0000FF"/>
                          <w:u w:val="single" w:color="0000FF"/>
                        </w:rPr>
                        <w:t>www.sadf.eu</w:t>
                      </w:r>
                    </w:hyperlink>
                    <w:r>
                      <w:rPr>
                        <w:rFonts w:ascii="Calibri"/>
                        <w:color w:val="0000FF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Contacts: +12 026 834 180; +32 2 808 42 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A77B" w14:textId="77777777" w:rsidR="00F67F80" w:rsidRDefault="00F67F80">
      <w:r>
        <w:separator/>
      </w:r>
    </w:p>
  </w:footnote>
  <w:footnote w:type="continuationSeparator" w:id="0">
    <w:p w14:paraId="3BE8BE6C" w14:textId="77777777" w:rsidR="00F67F80" w:rsidRDefault="00F6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ACD0" w14:textId="77777777" w:rsidR="003C79C8" w:rsidRDefault="00007613">
    <w:pPr>
      <w:pStyle w:val="BodyText"/>
      <w:spacing w:line="14" w:lineRule="auto"/>
      <w:rPr>
        <w:sz w:val="20"/>
      </w:rPr>
    </w:pPr>
    <w:r>
      <w:rPr>
        <w:noProof/>
        <w:lang w:val="de-AT" w:eastAsia="de-AT" w:bidi="ar-SA"/>
      </w:rPr>
      <w:drawing>
        <wp:anchor distT="0" distB="0" distL="0" distR="0" simplePos="0" relativeHeight="251525120" behindDoc="1" locked="0" layoutInCell="1" allowOverlap="1" wp14:anchorId="551CA997" wp14:editId="47A2D701">
          <wp:simplePos x="0" y="0"/>
          <wp:positionH relativeFrom="page">
            <wp:posOffset>1437181</wp:posOffset>
          </wp:positionH>
          <wp:positionV relativeFrom="page">
            <wp:posOffset>368837</wp:posOffset>
          </wp:positionV>
          <wp:extent cx="810702" cy="6460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02" cy="64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D16">
      <w:rPr>
        <w:noProof/>
        <w:lang w:val="de-AT" w:eastAsia="de-AT"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4D1F1056" wp14:editId="3BC29E51">
              <wp:simplePos x="0" y="0"/>
              <wp:positionH relativeFrom="page">
                <wp:posOffset>2298065</wp:posOffset>
              </wp:positionH>
              <wp:positionV relativeFrom="page">
                <wp:posOffset>492760</wp:posOffset>
              </wp:positionV>
              <wp:extent cx="3467100" cy="304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173A6" w14:textId="77777777" w:rsidR="003C79C8" w:rsidRDefault="00007613">
                          <w:pPr>
                            <w:spacing w:line="468" w:lineRule="exact"/>
                            <w:ind w:left="20"/>
                            <w:rPr>
                              <w:rFonts w:ascii="Calibri"/>
                              <w:b/>
                              <w:sz w:val="4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B0F0"/>
                              <w:sz w:val="44"/>
                            </w:rPr>
                            <w:t>South Asia Democratic Forum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F10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95pt;margin-top:38.8pt;width:273pt;height:24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" filled="f" stroked="f">
              <v:textbox inset="0,0,0,0">
                <w:txbxContent>
                  <w:p w14:paraId="3A1173A6" w14:textId="77777777" w:rsidR="003C79C8" w:rsidRDefault="00007613">
                    <w:pPr>
                      <w:spacing w:line="468" w:lineRule="exact"/>
                      <w:ind w:left="20"/>
                      <w:rPr>
                        <w:rFonts w:ascii="Calibri"/>
                        <w:b/>
                        <w:sz w:val="44"/>
                      </w:rPr>
                    </w:pPr>
                    <w:r>
                      <w:rPr>
                        <w:rFonts w:ascii="Calibri"/>
                        <w:b/>
                        <w:color w:val="00B0F0"/>
                        <w:sz w:val="44"/>
                      </w:rPr>
                      <w:t>South Asia Democratic Forum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40E3"/>
    <w:multiLevelType w:val="hybridMultilevel"/>
    <w:tmpl w:val="FC2CD812"/>
    <w:lvl w:ilvl="0" w:tplc="A4DE5F7E">
      <w:start w:val="4"/>
      <w:numFmt w:val="decimal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F55EB9D6">
      <w:numFmt w:val="bullet"/>
      <w:lvlText w:val="•"/>
      <w:lvlJc w:val="left"/>
      <w:pPr>
        <w:ind w:left="1014" w:hanging="267"/>
      </w:pPr>
      <w:rPr>
        <w:rFonts w:hint="default"/>
        <w:lang w:val="en-US" w:eastAsia="en-US" w:bidi="en-US"/>
      </w:rPr>
    </w:lvl>
    <w:lvl w:ilvl="2" w:tplc="F6EC3F2A">
      <w:numFmt w:val="bullet"/>
      <w:lvlText w:val="•"/>
      <w:lvlJc w:val="left"/>
      <w:pPr>
        <w:ind w:left="1929" w:hanging="267"/>
      </w:pPr>
      <w:rPr>
        <w:rFonts w:hint="default"/>
        <w:lang w:val="en-US" w:eastAsia="en-US" w:bidi="en-US"/>
      </w:rPr>
    </w:lvl>
    <w:lvl w:ilvl="3" w:tplc="9BA0E63E">
      <w:numFmt w:val="bullet"/>
      <w:lvlText w:val="•"/>
      <w:lvlJc w:val="left"/>
      <w:pPr>
        <w:ind w:left="2843" w:hanging="267"/>
      </w:pPr>
      <w:rPr>
        <w:rFonts w:hint="default"/>
        <w:lang w:val="en-US" w:eastAsia="en-US" w:bidi="en-US"/>
      </w:rPr>
    </w:lvl>
    <w:lvl w:ilvl="4" w:tplc="89B6B3E2">
      <w:numFmt w:val="bullet"/>
      <w:lvlText w:val="•"/>
      <w:lvlJc w:val="left"/>
      <w:pPr>
        <w:ind w:left="3758" w:hanging="267"/>
      </w:pPr>
      <w:rPr>
        <w:rFonts w:hint="default"/>
        <w:lang w:val="en-US" w:eastAsia="en-US" w:bidi="en-US"/>
      </w:rPr>
    </w:lvl>
    <w:lvl w:ilvl="5" w:tplc="530203E8">
      <w:numFmt w:val="bullet"/>
      <w:lvlText w:val="•"/>
      <w:lvlJc w:val="left"/>
      <w:pPr>
        <w:ind w:left="4673" w:hanging="267"/>
      </w:pPr>
      <w:rPr>
        <w:rFonts w:hint="default"/>
        <w:lang w:val="en-US" w:eastAsia="en-US" w:bidi="en-US"/>
      </w:rPr>
    </w:lvl>
    <w:lvl w:ilvl="6" w:tplc="45507B4A">
      <w:numFmt w:val="bullet"/>
      <w:lvlText w:val="•"/>
      <w:lvlJc w:val="left"/>
      <w:pPr>
        <w:ind w:left="5587" w:hanging="267"/>
      </w:pPr>
      <w:rPr>
        <w:rFonts w:hint="default"/>
        <w:lang w:val="en-US" w:eastAsia="en-US" w:bidi="en-US"/>
      </w:rPr>
    </w:lvl>
    <w:lvl w:ilvl="7" w:tplc="603E8CB0">
      <w:numFmt w:val="bullet"/>
      <w:lvlText w:val="•"/>
      <w:lvlJc w:val="left"/>
      <w:pPr>
        <w:ind w:left="6502" w:hanging="267"/>
      </w:pPr>
      <w:rPr>
        <w:rFonts w:hint="default"/>
        <w:lang w:val="en-US" w:eastAsia="en-US" w:bidi="en-US"/>
      </w:rPr>
    </w:lvl>
    <w:lvl w:ilvl="8" w:tplc="B8E6D4AE">
      <w:numFmt w:val="bullet"/>
      <w:lvlText w:val="•"/>
      <w:lvlJc w:val="left"/>
      <w:pPr>
        <w:ind w:left="7417" w:hanging="267"/>
      </w:pPr>
      <w:rPr>
        <w:rFonts w:hint="default"/>
        <w:lang w:val="en-US" w:eastAsia="en-US" w:bidi="en-US"/>
      </w:rPr>
    </w:lvl>
  </w:abstractNum>
  <w:abstractNum w:abstractNumId="1" w15:restartNumberingAfterBreak="0">
    <w:nsid w:val="6BFD1AA7"/>
    <w:multiLevelType w:val="hybridMultilevel"/>
    <w:tmpl w:val="ED2412B0"/>
    <w:lvl w:ilvl="0" w:tplc="333605DC">
      <w:start w:val="1"/>
      <w:numFmt w:val="decimal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1DC603C">
      <w:numFmt w:val="bullet"/>
      <w:lvlText w:val="•"/>
      <w:lvlJc w:val="left"/>
      <w:pPr>
        <w:ind w:left="1248" w:hanging="267"/>
      </w:pPr>
      <w:rPr>
        <w:rFonts w:hint="default"/>
        <w:lang w:val="en-US" w:eastAsia="en-US" w:bidi="en-US"/>
      </w:rPr>
    </w:lvl>
    <w:lvl w:ilvl="2" w:tplc="49CEDBFA">
      <w:numFmt w:val="bullet"/>
      <w:lvlText w:val="•"/>
      <w:lvlJc w:val="left"/>
      <w:pPr>
        <w:ind w:left="2137" w:hanging="267"/>
      </w:pPr>
      <w:rPr>
        <w:rFonts w:hint="default"/>
        <w:lang w:val="en-US" w:eastAsia="en-US" w:bidi="en-US"/>
      </w:rPr>
    </w:lvl>
    <w:lvl w:ilvl="3" w:tplc="B950B152">
      <w:numFmt w:val="bullet"/>
      <w:lvlText w:val="•"/>
      <w:lvlJc w:val="left"/>
      <w:pPr>
        <w:ind w:left="3025" w:hanging="267"/>
      </w:pPr>
      <w:rPr>
        <w:rFonts w:hint="default"/>
        <w:lang w:val="en-US" w:eastAsia="en-US" w:bidi="en-US"/>
      </w:rPr>
    </w:lvl>
    <w:lvl w:ilvl="4" w:tplc="35D464EE">
      <w:numFmt w:val="bullet"/>
      <w:lvlText w:val="•"/>
      <w:lvlJc w:val="left"/>
      <w:pPr>
        <w:ind w:left="3914" w:hanging="267"/>
      </w:pPr>
      <w:rPr>
        <w:rFonts w:hint="default"/>
        <w:lang w:val="en-US" w:eastAsia="en-US" w:bidi="en-US"/>
      </w:rPr>
    </w:lvl>
    <w:lvl w:ilvl="5" w:tplc="94807D60">
      <w:numFmt w:val="bullet"/>
      <w:lvlText w:val="•"/>
      <w:lvlJc w:val="left"/>
      <w:pPr>
        <w:ind w:left="4803" w:hanging="267"/>
      </w:pPr>
      <w:rPr>
        <w:rFonts w:hint="default"/>
        <w:lang w:val="en-US" w:eastAsia="en-US" w:bidi="en-US"/>
      </w:rPr>
    </w:lvl>
    <w:lvl w:ilvl="6" w:tplc="6A2EC2AC">
      <w:numFmt w:val="bullet"/>
      <w:lvlText w:val="•"/>
      <w:lvlJc w:val="left"/>
      <w:pPr>
        <w:ind w:left="5691" w:hanging="267"/>
      </w:pPr>
      <w:rPr>
        <w:rFonts w:hint="default"/>
        <w:lang w:val="en-US" w:eastAsia="en-US" w:bidi="en-US"/>
      </w:rPr>
    </w:lvl>
    <w:lvl w:ilvl="7" w:tplc="C7F22D4A">
      <w:numFmt w:val="bullet"/>
      <w:lvlText w:val="•"/>
      <w:lvlJc w:val="left"/>
      <w:pPr>
        <w:ind w:left="6580" w:hanging="267"/>
      </w:pPr>
      <w:rPr>
        <w:rFonts w:hint="default"/>
        <w:lang w:val="en-US" w:eastAsia="en-US" w:bidi="en-US"/>
      </w:rPr>
    </w:lvl>
    <w:lvl w:ilvl="8" w:tplc="FC6EA274">
      <w:numFmt w:val="bullet"/>
      <w:lvlText w:val="•"/>
      <w:lvlJc w:val="left"/>
      <w:pPr>
        <w:ind w:left="7469" w:hanging="267"/>
      </w:pPr>
      <w:rPr>
        <w:rFonts w:hint="default"/>
        <w:lang w:val="en-US" w:eastAsia="en-US" w:bidi="en-US"/>
      </w:rPr>
    </w:lvl>
  </w:abstractNum>
  <w:abstractNum w:abstractNumId="2" w15:restartNumberingAfterBreak="0">
    <w:nsid w:val="6C914B98"/>
    <w:multiLevelType w:val="hybridMultilevel"/>
    <w:tmpl w:val="AE023960"/>
    <w:lvl w:ilvl="0" w:tplc="6EEEFA94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0483612">
      <w:numFmt w:val="bullet"/>
      <w:lvlText w:val="•"/>
      <w:lvlJc w:val="left"/>
      <w:pPr>
        <w:ind w:left="1140" w:hanging="140"/>
      </w:pPr>
      <w:rPr>
        <w:rFonts w:hint="default"/>
        <w:lang w:val="en-US" w:eastAsia="en-US" w:bidi="en-US"/>
      </w:rPr>
    </w:lvl>
    <w:lvl w:ilvl="2" w:tplc="AD4A84A6">
      <w:numFmt w:val="bullet"/>
      <w:lvlText w:val="•"/>
      <w:lvlJc w:val="left"/>
      <w:pPr>
        <w:ind w:left="2041" w:hanging="140"/>
      </w:pPr>
      <w:rPr>
        <w:rFonts w:hint="default"/>
        <w:lang w:val="en-US" w:eastAsia="en-US" w:bidi="en-US"/>
      </w:rPr>
    </w:lvl>
    <w:lvl w:ilvl="3" w:tplc="5F84D298">
      <w:numFmt w:val="bullet"/>
      <w:lvlText w:val="•"/>
      <w:lvlJc w:val="left"/>
      <w:pPr>
        <w:ind w:left="2941" w:hanging="140"/>
      </w:pPr>
      <w:rPr>
        <w:rFonts w:hint="default"/>
        <w:lang w:val="en-US" w:eastAsia="en-US" w:bidi="en-US"/>
      </w:rPr>
    </w:lvl>
    <w:lvl w:ilvl="4" w:tplc="C6B4932E">
      <w:numFmt w:val="bullet"/>
      <w:lvlText w:val="•"/>
      <w:lvlJc w:val="left"/>
      <w:pPr>
        <w:ind w:left="3842" w:hanging="140"/>
      </w:pPr>
      <w:rPr>
        <w:rFonts w:hint="default"/>
        <w:lang w:val="en-US" w:eastAsia="en-US" w:bidi="en-US"/>
      </w:rPr>
    </w:lvl>
    <w:lvl w:ilvl="5" w:tplc="E0AE361A">
      <w:numFmt w:val="bullet"/>
      <w:lvlText w:val="•"/>
      <w:lvlJc w:val="left"/>
      <w:pPr>
        <w:ind w:left="4743" w:hanging="140"/>
      </w:pPr>
      <w:rPr>
        <w:rFonts w:hint="default"/>
        <w:lang w:val="en-US" w:eastAsia="en-US" w:bidi="en-US"/>
      </w:rPr>
    </w:lvl>
    <w:lvl w:ilvl="6" w:tplc="0AD6F344">
      <w:numFmt w:val="bullet"/>
      <w:lvlText w:val="•"/>
      <w:lvlJc w:val="left"/>
      <w:pPr>
        <w:ind w:left="5643" w:hanging="140"/>
      </w:pPr>
      <w:rPr>
        <w:rFonts w:hint="default"/>
        <w:lang w:val="en-US" w:eastAsia="en-US" w:bidi="en-US"/>
      </w:rPr>
    </w:lvl>
    <w:lvl w:ilvl="7" w:tplc="1AB60072">
      <w:numFmt w:val="bullet"/>
      <w:lvlText w:val="•"/>
      <w:lvlJc w:val="left"/>
      <w:pPr>
        <w:ind w:left="6544" w:hanging="140"/>
      </w:pPr>
      <w:rPr>
        <w:rFonts w:hint="default"/>
        <w:lang w:val="en-US" w:eastAsia="en-US" w:bidi="en-US"/>
      </w:rPr>
    </w:lvl>
    <w:lvl w:ilvl="8" w:tplc="77E2A4F0">
      <w:numFmt w:val="bullet"/>
      <w:lvlText w:val="•"/>
      <w:lvlJc w:val="left"/>
      <w:pPr>
        <w:ind w:left="7445" w:hanging="1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C8"/>
    <w:rsid w:val="00007613"/>
    <w:rsid w:val="001546B6"/>
    <w:rsid w:val="003C79C8"/>
    <w:rsid w:val="006F20FC"/>
    <w:rsid w:val="00747B0C"/>
    <w:rsid w:val="00811666"/>
    <w:rsid w:val="008D1C49"/>
    <w:rsid w:val="008E3B07"/>
    <w:rsid w:val="009C0DEE"/>
    <w:rsid w:val="00A107B4"/>
    <w:rsid w:val="00AE675A"/>
    <w:rsid w:val="00B17991"/>
    <w:rsid w:val="00C66DC9"/>
    <w:rsid w:val="00D32627"/>
    <w:rsid w:val="00EF0E0F"/>
    <w:rsid w:val="00F67F80"/>
    <w:rsid w:val="00FB0F59"/>
    <w:rsid w:val="00FC1D16"/>
    <w:rsid w:val="00F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F40EDE"/>
  <w15:docId w15:val="{40D377AC-54AE-4A02-ACA1-99245682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6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B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eas.europa.eu/delegations/india/54057/joint-communication-elements-eu-strategy-india_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eas.europa.eu/topics/eu-global-strategy_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eas.europa.eu/delegations/china/50699/connecting-europe-asia-eu-strategy_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eas.europa.eu/delegations/china/50699/connecting-europe-asia-eu-strategy_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onsilium.europa.eu/en/press/press-releases/2019/06/17/central-asia-council-adopts-a-new-eu-strategy-for-the-regio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df.eu" TargetMode="External"/><Relationship Id="rId2" Type="http://schemas.openxmlformats.org/officeDocument/2006/relationships/hyperlink" Target="http://www.sadf.eu/" TargetMode="External"/><Relationship Id="rId1" Type="http://schemas.openxmlformats.org/officeDocument/2006/relationships/hyperlink" Target="mailto:info@sadf.eu" TargetMode="External"/><Relationship Id="rId4" Type="http://schemas.openxmlformats.org/officeDocument/2006/relationships/hyperlink" Target="http://www.sadf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Susan</cp:lastModifiedBy>
  <cp:revision>2</cp:revision>
  <cp:lastPrinted>2019-10-23T14:37:00Z</cp:lastPrinted>
  <dcterms:created xsi:type="dcterms:W3CDTF">2019-10-25T13:13:00Z</dcterms:created>
  <dcterms:modified xsi:type="dcterms:W3CDTF">2019-10-25T13:13:00Z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2019-10-14T00:00:00Z</vt:filetime>
  </property>
</Properties>
</file>